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D9B5" w14:textId="77777777" w:rsidR="00C968A5" w:rsidRDefault="00C968A5">
      <w:pPr>
        <w:pStyle w:val="Heading4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jc w:val="left"/>
        <w:rPr>
          <w:sz w:val="22"/>
        </w:rPr>
      </w:pPr>
      <w:r>
        <w:rPr>
          <w:sz w:val="22"/>
        </w:rPr>
        <w:t>Instructional Employees</w:t>
      </w:r>
    </w:p>
    <w:p w14:paraId="004AAB02" w14:textId="77777777" w:rsidR="00C968A5" w:rsidRDefault="00C968A5"/>
    <w:p w14:paraId="4B8F0C52" w14:textId="77777777" w:rsidR="00C968A5" w:rsidRDefault="00C968A5" w:rsidP="00141607">
      <w:pPr>
        <w:jc w:val="both"/>
      </w:pPr>
      <w:r>
        <w:t xml:space="preserve">As required by law, </w:t>
      </w:r>
      <w:r w:rsidR="00ED26AE">
        <w:t xml:space="preserve">the </w:t>
      </w:r>
      <w:r>
        <w:t>B</w:t>
      </w:r>
      <w:r w:rsidR="00141607">
        <w:t>oard</w:t>
      </w:r>
      <w:r>
        <w:t xml:space="preserve"> will accept the resignation of an instructional employee upon thirty (30) days written notice.</w:t>
      </w:r>
    </w:p>
    <w:p w14:paraId="49D88027" w14:textId="77777777" w:rsidR="00C968A5" w:rsidRDefault="00C968A5" w:rsidP="00141607">
      <w:pPr>
        <w:jc w:val="both"/>
      </w:pPr>
    </w:p>
    <w:p w14:paraId="11B942A5" w14:textId="77777777" w:rsidR="00C968A5" w:rsidRDefault="00C968A5" w:rsidP="00141607">
      <w:pPr>
        <w:jc w:val="both"/>
      </w:pPr>
      <w:r>
        <w:t>It is expected that, whenever possible, employees will submit resignations well in advance of the required thirty (30) days notice to facilitate the recruitment and appointment of a replacement.</w:t>
      </w:r>
    </w:p>
    <w:p w14:paraId="0B3E6BB1" w14:textId="77777777" w:rsidR="00C968A5" w:rsidRDefault="00C968A5" w:rsidP="00141607">
      <w:pPr>
        <w:jc w:val="both"/>
      </w:pPr>
    </w:p>
    <w:p w14:paraId="74B61E2B" w14:textId="77777777" w:rsidR="00C968A5" w:rsidRDefault="00C968A5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09B052A8" w14:textId="77777777" w:rsidR="00C968A5" w:rsidRDefault="00C968A5">
      <w:pPr>
        <w:numPr>
          <w:ilvl w:val="0"/>
          <w:numId w:val="2"/>
        </w:numPr>
        <w:tabs>
          <w:tab w:val="left" w:pos="360"/>
        </w:tabs>
      </w:pPr>
      <w:hyperlink r:id="rId7" w:history="1">
        <w:r>
          <w:rPr>
            <w:rStyle w:val="Hyperlink"/>
          </w:rPr>
          <w:t>NYS E</w:t>
        </w:r>
        <w:r>
          <w:rPr>
            <w:rStyle w:val="Hyperlink"/>
          </w:rPr>
          <w:t>d</w:t>
        </w:r>
        <w:r>
          <w:rPr>
            <w:rStyle w:val="Hyperlink"/>
          </w:rPr>
          <w:t>ucation Law §3019-a</w:t>
        </w:r>
      </w:hyperlink>
    </w:p>
    <w:p w14:paraId="4C5FB466" w14:textId="77777777" w:rsidR="00C968A5" w:rsidRDefault="00C968A5"/>
    <w:p w14:paraId="0E987DD5" w14:textId="77777777" w:rsidR="00C968A5" w:rsidRDefault="00C968A5"/>
    <w:p w14:paraId="0B200084" w14:textId="77777777" w:rsidR="00C968A5" w:rsidRDefault="000D39E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C968A5">
        <w:rPr>
          <w:sz w:val="18"/>
        </w:rPr>
        <w:t>Adopted:  7/1/03</w:t>
      </w:r>
    </w:p>
    <w:p w14:paraId="65C07AE7" w14:textId="77777777" w:rsidR="00C968A5" w:rsidRDefault="000D39E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141607">
        <w:rPr>
          <w:sz w:val="18"/>
        </w:rPr>
        <w:t>adopt</w:t>
      </w:r>
      <w:r>
        <w:rPr>
          <w:sz w:val="18"/>
        </w:rPr>
        <w:t>ed</w:t>
      </w:r>
      <w:r w:rsidR="00C968A5">
        <w:rPr>
          <w:sz w:val="18"/>
        </w:rPr>
        <w:t xml:space="preserve">:  </w:t>
      </w:r>
      <w:r w:rsidR="00141607">
        <w:rPr>
          <w:sz w:val="18"/>
        </w:rPr>
        <w:t>7/11/07</w:t>
      </w:r>
    </w:p>
    <w:p w14:paraId="2437DD8A" w14:textId="77777777" w:rsidR="00141607" w:rsidRDefault="0014160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1416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84F7" w14:textId="77777777" w:rsidR="00D730D8" w:rsidRDefault="00D730D8">
      <w:r>
        <w:separator/>
      </w:r>
    </w:p>
  </w:endnote>
  <w:endnote w:type="continuationSeparator" w:id="0">
    <w:p w14:paraId="099B5210" w14:textId="77777777" w:rsidR="00D730D8" w:rsidRDefault="00D7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6353" w14:textId="77777777" w:rsidR="00D730D8" w:rsidRDefault="00D730D8">
      <w:r>
        <w:separator/>
      </w:r>
    </w:p>
  </w:footnote>
  <w:footnote w:type="continuationSeparator" w:id="0">
    <w:p w14:paraId="432B2D7F" w14:textId="77777777" w:rsidR="00D730D8" w:rsidRDefault="00D7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FB08" w14:textId="77777777" w:rsidR="00141607" w:rsidRPr="00141607" w:rsidRDefault="00141607" w:rsidP="00141607">
    <w:pPr>
      <w:pStyle w:val="Header"/>
      <w:jc w:val="right"/>
      <w:rPr>
        <w:b/>
        <w:sz w:val="20"/>
        <w:szCs w:val="20"/>
      </w:rPr>
    </w:pPr>
    <w:r w:rsidRPr="00141607">
      <w:rPr>
        <w:b/>
        <w:noProof/>
        <w:sz w:val="20"/>
        <w:szCs w:val="20"/>
      </w:rPr>
      <w:pict w14:anchorId="69A7B08D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0A3D6CF2" w14:textId="77777777" w:rsidR="00141607" w:rsidRDefault="00141607" w:rsidP="0014160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141607">
      <w:rPr>
        <w:noProof/>
        <w:sz w:val="20"/>
        <w:szCs w:val="20"/>
      </w:rPr>
      <w:pict w14:anchorId="612D0C54">
        <v:line id="_x0000_s1031" style="position:absolute;left:0;text-align:left;z-index:251658240" from="2in,-3pt" to="2in,121.55pt" strokeweight="3pt"/>
      </w:pict>
    </w:r>
    <w:r w:rsidRPr="00141607">
      <w:rPr>
        <w:b/>
        <w:noProof/>
        <w:sz w:val="20"/>
        <w:szCs w:val="20"/>
      </w:rPr>
      <w:pict w14:anchorId="183EDD11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36CD5D47" w14:textId="77777777" w:rsidR="00141607" w:rsidRDefault="00141607" w:rsidP="0014160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7F804189" w14:textId="77777777" w:rsidR="00141607" w:rsidRDefault="00141607" w:rsidP="0014160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141607">
      <w:rPr>
        <w:b/>
        <w:sz w:val="20"/>
        <w:szCs w:val="20"/>
      </w:rPr>
      <w:t>5154</w:t>
    </w:r>
  </w:p>
  <w:p w14:paraId="3C4A1E26" w14:textId="77777777" w:rsidR="00141607" w:rsidRPr="00141607" w:rsidRDefault="00141607" w:rsidP="00141607">
    <w:pPr>
      <w:pStyle w:val="Header"/>
      <w:jc w:val="right"/>
      <w:rPr>
        <w:b/>
        <w:sz w:val="20"/>
        <w:szCs w:val="20"/>
      </w:rPr>
    </w:pPr>
    <w:r w:rsidRPr="00141607">
      <w:rPr>
        <w:b/>
        <w:sz w:val="20"/>
        <w:szCs w:val="20"/>
      </w:rPr>
      <w:t xml:space="preserve">Page </w:t>
    </w:r>
    <w:r w:rsidRPr="00141607">
      <w:rPr>
        <w:rStyle w:val="PageNumber"/>
        <w:b/>
        <w:sz w:val="20"/>
        <w:szCs w:val="20"/>
      </w:rPr>
      <w:fldChar w:fldCharType="begin"/>
    </w:r>
    <w:r w:rsidRPr="00141607">
      <w:rPr>
        <w:rStyle w:val="PageNumber"/>
        <w:b/>
        <w:sz w:val="20"/>
        <w:szCs w:val="20"/>
      </w:rPr>
      <w:instrText xml:space="preserve"> PAGE </w:instrText>
    </w:r>
    <w:r w:rsidRPr="00141607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1</w:t>
    </w:r>
    <w:r w:rsidRPr="00141607">
      <w:rPr>
        <w:rStyle w:val="PageNumber"/>
        <w:b/>
        <w:sz w:val="20"/>
        <w:szCs w:val="20"/>
      </w:rPr>
      <w:fldChar w:fldCharType="end"/>
    </w:r>
    <w:r w:rsidRPr="00141607">
      <w:rPr>
        <w:b/>
        <w:sz w:val="20"/>
        <w:szCs w:val="20"/>
      </w:rPr>
      <w:t xml:space="preserve"> of </w:t>
    </w:r>
    <w:r w:rsidRPr="00141607">
      <w:rPr>
        <w:rStyle w:val="PageNumber"/>
        <w:b/>
        <w:sz w:val="20"/>
        <w:szCs w:val="20"/>
      </w:rPr>
      <w:fldChar w:fldCharType="begin"/>
    </w:r>
    <w:r w:rsidRPr="00141607">
      <w:rPr>
        <w:rStyle w:val="PageNumber"/>
        <w:b/>
        <w:sz w:val="20"/>
        <w:szCs w:val="20"/>
      </w:rPr>
      <w:instrText xml:space="preserve"> NUMPAGES </w:instrText>
    </w:r>
    <w:r w:rsidRPr="00141607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1</w:t>
    </w:r>
    <w:r w:rsidRPr="00141607">
      <w:rPr>
        <w:rStyle w:val="PageNumber"/>
        <w:b/>
        <w:sz w:val="20"/>
        <w:szCs w:val="20"/>
      </w:rPr>
      <w:fldChar w:fldCharType="end"/>
    </w:r>
  </w:p>
  <w:p w14:paraId="02737325" w14:textId="77777777" w:rsidR="00141607" w:rsidRPr="00141607" w:rsidRDefault="00141607" w:rsidP="00141607">
    <w:pPr>
      <w:pStyle w:val="Header"/>
      <w:jc w:val="right"/>
      <w:rPr>
        <w:b/>
        <w:sz w:val="20"/>
        <w:szCs w:val="20"/>
      </w:rPr>
    </w:pPr>
  </w:p>
  <w:p w14:paraId="22151607" w14:textId="77777777" w:rsidR="00141607" w:rsidRDefault="00141607" w:rsidP="00141607">
    <w:pPr>
      <w:pStyle w:val="Header"/>
      <w:jc w:val="right"/>
      <w:rPr>
        <w:b/>
      </w:rPr>
    </w:pPr>
  </w:p>
  <w:p w14:paraId="1DFADE3E" w14:textId="77777777" w:rsidR="00141607" w:rsidRPr="00FD016B" w:rsidRDefault="00141607" w:rsidP="00141607">
    <w:pPr>
      <w:pStyle w:val="Header"/>
      <w:jc w:val="right"/>
      <w:rPr>
        <w:b/>
        <w:sz w:val="24"/>
      </w:rPr>
    </w:pPr>
    <w:r>
      <w:rPr>
        <w:b/>
        <w:sz w:val="24"/>
      </w:rPr>
      <w:t>Employee Separation</w:t>
    </w:r>
  </w:p>
  <w:p w14:paraId="3C2CB6E2" w14:textId="77777777" w:rsidR="00141607" w:rsidRPr="00141607" w:rsidRDefault="00141607" w:rsidP="00141607">
    <w:pPr>
      <w:pStyle w:val="Header"/>
      <w:jc w:val="right"/>
      <w:rPr>
        <w:b/>
        <w:sz w:val="24"/>
      </w:rPr>
    </w:pPr>
  </w:p>
  <w:p w14:paraId="1A70C516" w14:textId="77777777" w:rsidR="00141607" w:rsidRPr="000A78A3" w:rsidRDefault="00141607" w:rsidP="00141607">
    <w:pPr>
      <w:pStyle w:val="Header"/>
      <w:jc w:val="right"/>
      <w:rPr>
        <w:b/>
        <w:sz w:val="24"/>
      </w:rPr>
    </w:pPr>
  </w:p>
  <w:p w14:paraId="73458D51" w14:textId="77777777" w:rsidR="00141607" w:rsidRDefault="00141607" w:rsidP="0014160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4E4B62B2" w14:textId="77777777" w:rsidR="00141607" w:rsidRDefault="00141607" w:rsidP="0014160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3D1633AF" w14:textId="77777777" w:rsidR="00141607" w:rsidRDefault="00141607" w:rsidP="0014160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17C9A56E" w14:textId="77777777" w:rsidR="00141607" w:rsidRPr="008D1520" w:rsidRDefault="00141607" w:rsidP="00141607">
    <w:pPr>
      <w:pStyle w:val="Header"/>
      <w:rPr>
        <w:rFonts w:ascii="Arial Narrow" w:hAnsi="Arial Narrow"/>
        <w:sz w:val="10"/>
        <w:szCs w:val="16"/>
      </w:rPr>
    </w:pPr>
  </w:p>
  <w:p w14:paraId="2DDC332C" w14:textId="77777777" w:rsidR="00141607" w:rsidRPr="000A78A3" w:rsidRDefault="00141607" w:rsidP="0014160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3EB393E4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7DC7"/>
    <w:multiLevelType w:val="hybridMultilevel"/>
    <w:tmpl w:val="38826070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47746C9D"/>
    <w:multiLevelType w:val="hybridMultilevel"/>
    <w:tmpl w:val="38826070"/>
    <w:lvl w:ilvl="0" w:tplc="AD226A2C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num w:numId="1" w16cid:durableId="1763257574">
    <w:abstractNumId w:val="1"/>
  </w:num>
  <w:num w:numId="2" w16cid:durableId="70444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Q+L23rPHXx6XPyAd0YVSoLJ5PA6d6at08XmAVVDmlrl58lldBojFgEQWqL0FUNQWMZ+37tq727rgACe9AWf7zA==" w:salt="OLUMa0iJ0CrPGtE/RBml6Q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9ED"/>
    <w:rsid w:val="000D39ED"/>
    <w:rsid w:val="00141607"/>
    <w:rsid w:val="001D70CB"/>
    <w:rsid w:val="00557F2C"/>
    <w:rsid w:val="00C81349"/>
    <w:rsid w:val="00C968A5"/>
    <w:rsid w:val="00D730D8"/>
    <w:rsid w:val="00E535DA"/>
    <w:rsid w:val="00ED26AE"/>
    <w:rsid w:val="00F262BC"/>
    <w:rsid w:val="00F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38FA584"/>
  <w15:chartTrackingRefBased/>
  <w15:docId w15:val="{F471524C-8B86-45EF-818F-93A5407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ED26A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262BC"/>
    <w:rPr>
      <w:color w:val="800080"/>
      <w:u w:val="single"/>
    </w:rPr>
  </w:style>
  <w:style w:type="character" w:styleId="PageNumber">
    <w:name w:val="page number"/>
    <w:basedOn w:val="DefaultParagraphFont"/>
    <w:rsid w:val="0014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Employees</vt:lpstr>
    </vt:vector>
  </TitlesOfParts>
  <Company>Eastern Suffolk BOCES</Company>
  <LinksUpToDate>false</LinksUpToDate>
  <CharactersWithSpaces>509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Employees</dc:title>
  <dc:subject/>
  <dc:creator>Pamela  Arrasate</dc:creator>
  <cp:keywords/>
  <dc:description/>
  <cp:lastModifiedBy>Kidney, James</cp:lastModifiedBy>
  <cp:revision>2</cp:revision>
  <cp:lastPrinted>2007-06-26T13:02:00Z</cp:lastPrinted>
  <dcterms:created xsi:type="dcterms:W3CDTF">2026-03-20T16:20:00Z</dcterms:created>
  <dcterms:modified xsi:type="dcterms:W3CDTF">2026-03-20T16:20:00Z</dcterms:modified>
</cp:coreProperties>
</file>