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09E3" w14:textId="77777777" w:rsidR="00B644AF" w:rsidRDefault="000C4A91" w:rsidP="000C4A91">
      <w:pPr>
        <w:jc w:val="both"/>
      </w:pPr>
      <w:r>
        <w:t xml:space="preserve">The </w:t>
      </w:r>
      <w:r w:rsidRPr="00435C2E">
        <w:t>Board</w:t>
      </w:r>
      <w:r w:rsidR="00B644AF">
        <w:t xml:space="preserve"> recognizes the existence of individual differences in the intellectual, social, emotional, and physical development of children.  In recognizing these differences, </w:t>
      </w:r>
      <w:r>
        <w:t>the Board</w:t>
      </w:r>
      <w:r w:rsidR="00B644AF">
        <w:t xml:space="preserve"> supports a system of services offered to our </w:t>
      </w:r>
      <w:r w:rsidR="009D267A">
        <w:t xml:space="preserve">participating </w:t>
      </w:r>
      <w:r w:rsidR="00B644AF">
        <w:t>districts for students with disabilities.</w:t>
      </w:r>
    </w:p>
    <w:p w14:paraId="39100E40" w14:textId="77777777" w:rsidR="00B644AF" w:rsidRDefault="00B644AF" w:rsidP="000C4A91">
      <w:pPr>
        <w:jc w:val="both"/>
      </w:pPr>
    </w:p>
    <w:p w14:paraId="37FF7D59" w14:textId="77777777" w:rsidR="00B644AF" w:rsidRDefault="00B644AF" w:rsidP="000C4A91">
      <w:pPr>
        <w:jc w:val="both"/>
      </w:pPr>
      <w:r>
        <w:rPr>
          <w:b/>
        </w:rPr>
        <w:t>Program Accessibility</w:t>
      </w:r>
    </w:p>
    <w:p w14:paraId="5F789FD7" w14:textId="77777777" w:rsidR="00B644AF" w:rsidRDefault="00B644AF" w:rsidP="000C4A91">
      <w:pPr>
        <w:jc w:val="both"/>
      </w:pPr>
    </w:p>
    <w:p w14:paraId="3198D326" w14:textId="77777777" w:rsidR="00B644AF" w:rsidRDefault="000C4A91" w:rsidP="000C4A91">
      <w:pPr>
        <w:jc w:val="both"/>
      </w:pPr>
      <w:r>
        <w:t xml:space="preserve">The </w:t>
      </w:r>
      <w:r w:rsidRPr="00435C2E">
        <w:t>Board</w:t>
      </w:r>
      <w:r w:rsidR="00B644AF">
        <w:t xml:space="preserve"> affirms its compliance with those sections of the Rehabilitation Act of 1973 dealing with program accessibility.</w:t>
      </w:r>
    </w:p>
    <w:p w14:paraId="4EE91CB0" w14:textId="77777777" w:rsidR="00B644AF" w:rsidRDefault="00B644AF" w:rsidP="000C4A91">
      <w:pPr>
        <w:jc w:val="both"/>
      </w:pPr>
    </w:p>
    <w:p w14:paraId="5FFE7B81" w14:textId="77777777" w:rsidR="00B644AF" w:rsidRDefault="000C4A91" w:rsidP="000C4A91">
      <w:pPr>
        <w:jc w:val="both"/>
      </w:pPr>
      <w:r>
        <w:t xml:space="preserve">Section </w:t>
      </w:r>
      <w:r w:rsidR="00B644AF">
        <w:t xml:space="preserve">504 of the Rehabilitation Act prohibits discrimination against qualified individuals with disabilities in federally assisted programs or activities solely on the basis of disability.  </w:t>
      </w:r>
      <w:r w:rsidR="00435C2E">
        <w:t>The Board</w:t>
      </w:r>
      <w:r w:rsidR="00B644AF">
        <w:t xml:space="preserve"> shall make its programs and facilities accessible to all </w:t>
      </w:r>
      <w:r>
        <w:t>E</w:t>
      </w:r>
      <w:r w:rsidR="00435C2E">
        <w:t xml:space="preserve">astern Suffolk </w:t>
      </w:r>
      <w:r w:rsidR="009D267A">
        <w:t>BOCES</w:t>
      </w:r>
      <w:r w:rsidR="00B644AF">
        <w:t xml:space="preserve"> students with disabilities.</w:t>
      </w:r>
    </w:p>
    <w:p w14:paraId="40D4EF76" w14:textId="77777777" w:rsidR="00B644AF" w:rsidRDefault="00B644AF" w:rsidP="000C4A91">
      <w:pPr>
        <w:jc w:val="both"/>
      </w:pPr>
    </w:p>
    <w:p w14:paraId="43F3556A" w14:textId="77777777" w:rsidR="0058362B" w:rsidRDefault="0058362B" w:rsidP="000C4A91">
      <w:pPr>
        <w:jc w:val="both"/>
      </w:pPr>
      <w:r>
        <w:t xml:space="preserve">All students with disabilities shall be provided with full access and opportunity to participate in </w:t>
      </w:r>
      <w:r w:rsidR="000C4A91">
        <w:t>ES</w:t>
      </w:r>
      <w:r>
        <w:t xml:space="preserve">BOCES programs and extracurricular activities, which are available to all other students enrolled in </w:t>
      </w:r>
      <w:r w:rsidR="000C4A91">
        <w:t>ES</w:t>
      </w:r>
      <w:r>
        <w:t>BOCES.  Parents/guardians of students with disabilities shall receive timely notice of such programs and activities.</w:t>
      </w:r>
    </w:p>
    <w:p w14:paraId="69208B49" w14:textId="77777777" w:rsidR="0058362B" w:rsidRDefault="0058362B" w:rsidP="000C4A91">
      <w:pPr>
        <w:jc w:val="both"/>
      </w:pPr>
    </w:p>
    <w:p w14:paraId="208C702C" w14:textId="77777777" w:rsidR="009525F4" w:rsidRDefault="009525F4" w:rsidP="000C4A91">
      <w:pPr>
        <w:jc w:val="both"/>
      </w:pPr>
      <w:r>
        <w:t>Compliance Officers</w:t>
      </w:r>
    </w:p>
    <w:p w14:paraId="46B81D1A" w14:textId="77777777" w:rsidR="009525F4" w:rsidRDefault="009525F4" w:rsidP="000C4A91">
      <w:pPr>
        <w:jc w:val="both"/>
      </w:pPr>
    </w:p>
    <w:p w14:paraId="20415579" w14:textId="77777777" w:rsidR="00B644AF" w:rsidRDefault="00BF18DB" w:rsidP="000C4A91">
      <w:pPr>
        <w:jc w:val="both"/>
      </w:pPr>
      <w:r>
        <w:t xml:space="preserve">The </w:t>
      </w:r>
      <w:r w:rsidR="000C4A91">
        <w:t>ES</w:t>
      </w:r>
      <w:r w:rsidR="00B644AF">
        <w:t xml:space="preserve">BOCES </w:t>
      </w:r>
      <w:r w:rsidR="0058362B">
        <w:t>Civil Rights Compliance Officers, who are appointed by the Board at the Organization</w:t>
      </w:r>
      <w:r w:rsidR="000C4A91">
        <w:t>al</w:t>
      </w:r>
      <w:r w:rsidR="0058362B">
        <w:t xml:space="preserve"> Meeting, are </w:t>
      </w:r>
      <w:r w:rsidR="00B644AF">
        <w:t>responsible for</w:t>
      </w:r>
      <w:r w:rsidR="0058362B">
        <w:t xml:space="preserve"> </w:t>
      </w:r>
      <w:r w:rsidR="00B644AF">
        <w:t>coordinati</w:t>
      </w:r>
      <w:r w:rsidR="0058362B">
        <w:t>ng</w:t>
      </w:r>
      <w:r w:rsidR="00B644AF">
        <w:t xml:space="preserve"> activities relating to compliance with §504 </w:t>
      </w:r>
      <w:r w:rsidR="0058362B">
        <w:t xml:space="preserve">and for </w:t>
      </w:r>
      <w:r w:rsidR="00B644AF">
        <w:t>provid</w:t>
      </w:r>
      <w:r w:rsidR="0058362B">
        <w:t>ing</w:t>
      </w:r>
      <w:r w:rsidR="00B644AF">
        <w:t xml:space="preserve"> information, including complaint procedures, to any person who feels his or her rights under §504 have been violated by </w:t>
      </w:r>
      <w:r w:rsidR="000C4A91">
        <w:t>ES</w:t>
      </w:r>
      <w:r w:rsidR="00B644AF">
        <w:t>BOCES or its officials.</w:t>
      </w:r>
    </w:p>
    <w:p w14:paraId="0578D36F" w14:textId="77777777" w:rsidR="00B644AF" w:rsidRDefault="00B644AF" w:rsidP="000C4A91"/>
    <w:p w14:paraId="0753FFF3" w14:textId="77777777" w:rsidR="00B644AF" w:rsidRDefault="00B644AF" w:rsidP="00302FC7">
      <w:pPr>
        <w:keepNext/>
        <w:tabs>
          <w:tab w:val="left" w:pos="360"/>
        </w:tabs>
        <w:jc w:val="both"/>
      </w:pPr>
      <w:r>
        <w:rPr>
          <w:b/>
          <w:bCs/>
        </w:rPr>
        <w:t>References:</w:t>
      </w:r>
    </w:p>
    <w:p w14:paraId="3C8ED0B7" w14:textId="77777777" w:rsidR="00B644AF" w:rsidRDefault="00B644AF" w:rsidP="00302FC7">
      <w:pPr>
        <w:numPr>
          <w:ilvl w:val="0"/>
          <w:numId w:val="1"/>
        </w:numPr>
        <w:tabs>
          <w:tab w:val="clear" w:pos="720"/>
        </w:tabs>
        <w:jc w:val="both"/>
      </w:pPr>
      <w:r>
        <w:t>20 United States Code (USC) §1400-§1485, Individuals with Disabilities Education Act (IDEA)</w:t>
      </w:r>
    </w:p>
    <w:p w14:paraId="4DE9C23D" w14:textId="77777777" w:rsidR="000B372A" w:rsidRDefault="000B372A" w:rsidP="00302FC7">
      <w:pPr>
        <w:numPr>
          <w:ilvl w:val="0"/>
          <w:numId w:val="1"/>
        </w:numPr>
        <w:tabs>
          <w:tab w:val="left" w:pos="360"/>
        </w:tabs>
        <w:jc w:val="both"/>
      </w:pPr>
      <w:r>
        <w:t>29 United States Code (USC)</w:t>
      </w:r>
      <w:r w:rsidRPr="000B372A">
        <w:t xml:space="preserve"> </w:t>
      </w:r>
      <w:r>
        <w:t>§794 et seq.,</w:t>
      </w:r>
      <w:r w:rsidRPr="000B372A">
        <w:t xml:space="preserve"> </w:t>
      </w:r>
      <w:r>
        <w:t>§504 of the Rehabilitation Act of 1973</w:t>
      </w:r>
    </w:p>
    <w:p w14:paraId="1BCD7C1F" w14:textId="77777777" w:rsidR="00B644AF" w:rsidRDefault="00B644AF" w:rsidP="00302FC7">
      <w:pPr>
        <w:numPr>
          <w:ilvl w:val="0"/>
          <w:numId w:val="1"/>
        </w:numPr>
        <w:tabs>
          <w:tab w:val="clear" w:pos="720"/>
        </w:tabs>
        <w:jc w:val="both"/>
      </w:pPr>
      <w:r>
        <w:t>8 NY Code of Rules and Regulations (NYCRR) §100.5, §100.9, §200.2(b)(1) and (b)(3), §200.2(c)(2)(v), and §200.6(a)(1) and (a)(3)</w:t>
      </w:r>
    </w:p>
    <w:p w14:paraId="351F828F" w14:textId="77777777" w:rsidR="00CA3D67" w:rsidRPr="00CA3D67" w:rsidRDefault="00CA3D67" w:rsidP="00302FC7">
      <w:pPr>
        <w:numPr>
          <w:ilvl w:val="0"/>
          <w:numId w:val="1"/>
        </w:numPr>
        <w:tabs>
          <w:tab w:val="clear" w:pos="720"/>
        </w:tabs>
        <w:jc w:val="both"/>
        <w:rPr>
          <w:rStyle w:val="Hyperlink"/>
        </w:rPr>
      </w:pPr>
      <w:r>
        <w:fldChar w:fldCharType="begin"/>
      </w:r>
      <w:r>
        <w:instrText xml:space="preserve"> HYPERLINK "http://public.leginfo.state.ny.us/menugetf.cgi?COMMONQUERY=LAWS" </w:instrText>
      </w:r>
      <w:r>
        <w:fldChar w:fldCharType="separate"/>
      </w:r>
      <w:r w:rsidRPr="00CA3D67">
        <w:rPr>
          <w:rStyle w:val="Hyperlink"/>
        </w:rPr>
        <w:t>NYS Education La</w:t>
      </w:r>
      <w:r w:rsidRPr="00CA3D67">
        <w:rPr>
          <w:rStyle w:val="Hyperlink"/>
        </w:rPr>
        <w:t>w</w:t>
      </w:r>
      <w:r w:rsidRPr="00CA3D67">
        <w:rPr>
          <w:rStyle w:val="Hyperlink"/>
        </w:rPr>
        <w:t xml:space="preserve"> §4401-§4407</w:t>
      </w:r>
    </w:p>
    <w:p w14:paraId="14E084DD" w14:textId="77777777" w:rsidR="00B644AF" w:rsidRPr="00302FC7" w:rsidRDefault="00CA3D67" w:rsidP="00302FC7">
      <w:pPr>
        <w:numPr>
          <w:ilvl w:val="0"/>
          <w:numId w:val="1"/>
        </w:numPr>
        <w:tabs>
          <w:tab w:val="clear" w:pos="720"/>
        </w:tabs>
        <w:jc w:val="both"/>
        <w:rPr>
          <w:rStyle w:val="Hyperlink"/>
        </w:rPr>
      </w:pPr>
      <w:r>
        <w:fldChar w:fldCharType="end"/>
      </w:r>
      <w:r w:rsidR="00302FC7">
        <w:fldChar w:fldCharType="begin"/>
      </w:r>
      <w:r w:rsidR="00302FC7">
        <w:instrText xml:space="preserve"> HYPERLINK "K:\\Policies-Regulations-Procedures-Forms\\Policies\\Policies on the Intranet\\Section 1000 - Bylaws\\Policy 1440 Non-Discrimination.doc" </w:instrText>
      </w:r>
      <w:r w:rsidR="00302FC7">
        <w:fldChar w:fldCharType="separate"/>
      </w:r>
      <w:r w:rsidR="001E5F14" w:rsidRPr="00302FC7">
        <w:rPr>
          <w:rStyle w:val="Hyperlink"/>
        </w:rPr>
        <w:t>Board Policy 1440 - Non-Discrimination</w:t>
      </w:r>
    </w:p>
    <w:p w14:paraId="0455CEC2" w14:textId="77777777" w:rsidR="00B644AF" w:rsidRPr="00302FC7" w:rsidRDefault="00302FC7" w:rsidP="00302FC7">
      <w:pPr>
        <w:numPr>
          <w:ilvl w:val="0"/>
          <w:numId w:val="1"/>
        </w:numPr>
        <w:tabs>
          <w:tab w:val="clear" w:pos="720"/>
        </w:tabs>
        <w:jc w:val="both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"K:\\Policies-Regulations-Procedures-Forms\\Policies\\Policies on the Intranet\\Section 6000 - Students\\Policy 6130 Equal Educational Opportunity (Students).doc" </w:instrText>
      </w:r>
      <w:r>
        <w:fldChar w:fldCharType="separate"/>
      </w:r>
      <w:r w:rsidR="001E5F14" w:rsidRPr="00302FC7">
        <w:rPr>
          <w:rStyle w:val="Hyperlink"/>
        </w:rPr>
        <w:t>Board Policy 6130 - Equal Educational Opportunity (Students)</w:t>
      </w:r>
    </w:p>
    <w:p w14:paraId="6AE98BFE" w14:textId="77777777" w:rsidR="002D5F16" w:rsidRDefault="00302FC7" w:rsidP="00302FC7">
      <w:pPr>
        <w:numPr>
          <w:ilvl w:val="0"/>
          <w:numId w:val="1"/>
        </w:numPr>
        <w:tabs>
          <w:tab w:val="clear" w:pos="720"/>
        </w:tabs>
        <w:jc w:val="both"/>
      </w:pPr>
      <w:r>
        <w:fldChar w:fldCharType="end"/>
      </w:r>
      <w:r w:rsidR="002B5619">
        <w:fldChar w:fldCharType="begin"/>
      </w:r>
      <w:r w:rsidR="002B5619">
        <w:instrText xml:space="preserve"> HYPERLINK "../../../Regulations/Regulations%20on%20the%20Intranet/Section%206000%20-%20Students/Regulation%206570R.1%20Complaints%20and%20Grievances%20by%20Students.doc" </w:instrText>
      </w:r>
      <w:r w:rsidR="002B5619">
        <w:fldChar w:fldCharType="separate"/>
      </w:r>
      <w:r w:rsidR="002D5F16" w:rsidRPr="002B5619">
        <w:rPr>
          <w:rStyle w:val="Hyperlink"/>
        </w:rPr>
        <w:t>Administrative Regulation 6570R.1 – Complaints and Grievances by Students</w:t>
      </w:r>
      <w:r w:rsidR="002B5619">
        <w:fldChar w:fldCharType="end"/>
      </w:r>
    </w:p>
    <w:p w14:paraId="1CAC6CDD" w14:textId="77777777" w:rsidR="00B644AF" w:rsidRDefault="00B644AF">
      <w:pPr>
        <w:ind w:left="1080"/>
      </w:pPr>
    </w:p>
    <w:p w14:paraId="1DD908D1" w14:textId="77777777" w:rsidR="00B644AF" w:rsidRDefault="00B644AF">
      <w:pPr>
        <w:tabs>
          <w:tab w:val="left" w:pos="360"/>
        </w:tabs>
        <w:ind w:left="360" w:hanging="360"/>
      </w:pPr>
    </w:p>
    <w:p w14:paraId="2A340C0D" w14:textId="77777777" w:rsidR="00B644AF" w:rsidRDefault="001D5A8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B644AF">
        <w:rPr>
          <w:sz w:val="18"/>
        </w:rPr>
        <w:t>Adopted:  7/1/03</w:t>
      </w:r>
    </w:p>
    <w:p w14:paraId="29BF0532" w14:textId="77777777" w:rsidR="00B644AF" w:rsidRDefault="001D5A8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C4A91">
        <w:rPr>
          <w:sz w:val="18"/>
        </w:rPr>
        <w:t>adopt</w:t>
      </w:r>
      <w:r>
        <w:rPr>
          <w:sz w:val="18"/>
        </w:rPr>
        <w:t>ed</w:t>
      </w:r>
      <w:r w:rsidR="00B644AF">
        <w:rPr>
          <w:sz w:val="18"/>
        </w:rPr>
        <w:t xml:space="preserve">:  </w:t>
      </w:r>
      <w:r w:rsidR="00302FC7">
        <w:rPr>
          <w:sz w:val="18"/>
        </w:rPr>
        <w:t>1/31/07</w:t>
      </w:r>
    </w:p>
    <w:p w14:paraId="20372B07" w14:textId="77777777" w:rsidR="000C4A91" w:rsidRDefault="000C4A9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14:paraId="7F7A798A" w14:textId="77777777" w:rsidR="00302FC7" w:rsidRDefault="00302FC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1895A6B6" w14:textId="77777777" w:rsidR="00B644AF" w:rsidRDefault="00B644AF"/>
    <w:sectPr w:rsidR="00B644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A299" w14:textId="77777777" w:rsidR="007A34BC" w:rsidRDefault="007A34BC" w:rsidP="00B644AF">
      <w:pPr>
        <w:pStyle w:val="Header"/>
      </w:pPr>
      <w:r>
        <w:separator/>
      </w:r>
    </w:p>
  </w:endnote>
  <w:endnote w:type="continuationSeparator" w:id="0">
    <w:p w14:paraId="2131726A" w14:textId="77777777" w:rsidR="007A34BC" w:rsidRDefault="007A34BC" w:rsidP="00B644A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E67B" w14:textId="77777777" w:rsidR="007A34BC" w:rsidRDefault="007A34BC" w:rsidP="00B644AF">
      <w:pPr>
        <w:pStyle w:val="Header"/>
      </w:pPr>
      <w:r>
        <w:separator/>
      </w:r>
    </w:p>
  </w:footnote>
  <w:footnote w:type="continuationSeparator" w:id="0">
    <w:p w14:paraId="373C1D84" w14:textId="77777777" w:rsidR="007A34BC" w:rsidRDefault="007A34BC" w:rsidP="00B644A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9063" w14:textId="77777777" w:rsidR="000C4A91" w:rsidRPr="000C4A91" w:rsidRDefault="000C4A91" w:rsidP="000C4A91">
    <w:pPr>
      <w:pStyle w:val="Header"/>
      <w:jc w:val="right"/>
      <w:rPr>
        <w:b/>
        <w:sz w:val="20"/>
        <w:szCs w:val="20"/>
      </w:rPr>
    </w:pPr>
    <w:r w:rsidRPr="000C4A91">
      <w:rPr>
        <w:b/>
        <w:noProof/>
        <w:sz w:val="20"/>
        <w:szCs w:val="20"/>
      </w:rPr>
      <w:pict w14:anchorId="57EFA204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left:0;text-align:left;margin-left:-7.5pt;margin-top:-5.25pt;width:137.15pt;height:81.35pt;z-index:251659264;mso-wrap-style:none" stroked="f">
          <v:textbox style="mso-next-textbox:#_x0000_s1041;mso-fit-shape-to-text:t">
            <w:txbxContent>
              <w:p w14:paraId="7D52751F" w14:textId="77777777" w:rsidR="000C4A91" w:rsidRDefault="000C4A91" w:rsidP="000C4A91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C4A91">
      <w:rPr>
        <w:noProof/>
        <w:sz w:val="20"/>
        <w:szCs w:val="20"/>
      </w:rPr>
      <w:pict w14:anchorId="1F2745CD">
        <v:line id="_x0000_s1040" style="position:absolute;left:0;text-align:left;z-index:251658240" from="2in,-3pt" to="2in,121.55pt" strokeweight="3pt"/>
      </w:pict>
    </w:r>
    <w:r w:rsidRPr="000C4A91">
      <w:rPr>
        <w:b/>
        <w:noProof/>
        <w:sz w:val="20"/>
        <w:szCs w:val="20"/>
      </w:rPr>
      <w:pict w14:anchorId="40AD94DA">
        <v:shape id="_x0000_s1038" type="#_x0000_t202" style="position:absolute;left:0;text-align:left;margin-left:150pt;margin-top:9pt;width:132pt;height:99pt;z-index:251656192" stroked="f">
          <v:textbox style="mso-next-textbox:#_x0000_s1038">
            <w:txbxContent>
              <w:p w14:paraId="155601CB" w14:textId="77777777" w:rsidR="000C4A91" w:rsidRDefault="000C4A91" w:rsidP="000C4A91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F8F7508" w14:textId="77777777" w:rsidR="000C4A91" w:rsidRDefault="000C4A91" w:rsidP="000C4A91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7120</w:t>
    </w:r>
  </w:p>
  <w:p w14:paraId="76C3FC0E" w14:textId="77777777" w:rsidR="000C4A91" w:rsidRPr="000C4A91" w:rsidRDefault="000C4A91" w:rsidP="000C4A91">
    <w:pPr>
      <w:pStyle w:val="Header"/>
      <w:jc w:val="right"/>
      <w:rPr>
        <w:b/>
        <w:sz w:val="20"/>
        <w:szCs w:val="20"/>
      </w:rPr>
    </w:pPr>
    <w:r w:rsidRPr="000C4A91">
      <w:rPr>
        <w:b/>
        <w:sz w:val="20"/>
        <w:szCs w:val="20"/>
      </w:rPr>
      <w:t xml:space="preserve">Page </w:t>
    </w:r>
    <w:r w:rsidRPr="000C4A91">
      <w:rPr>
        <w:rStyle w:val="PageNumber"/>
        <w:b/>
        <w:sz w:val="20"/>
        <w:szCs w:val="20"/>
      </w:rPr>
      <w:fldChar w:fldCharType="begin"/>
    </w:r>
    <w:r w:rsidRPr="000C4A91">
      <w:rPr>
        <w:rStyle w:val="PageNumber"/>
        <w:b/>
        <w:sz w:val="20"/>
        <w:szCs w:val="20"/>
      </w:rPr>
      <w:instrText xml:space="preserve"> PAGE </w:instrText>
    </w:r>
    <w:r w:rsidRPr="000C4A91">
      <w:rPr>
        <w:rStyle w:val="PageNumber"/>
        <w:b/>
        <w:sz w:val="20"/>
        <w:szCs w:val="20"/>
      </w:rPr>
      <w:fldChar w:fldCharType="separate"/>
    </w:r>
    <w:r w:rsidR="00435C2E">
      <w:rPr>
        <w:rStyle w:val="PageNumber"/>
        <w:b/>
        <w:noProof/>
        <w:sz w:val="20"/>
        <w:szCs w:val="20"/>
      </w:rPr>
      <w:t>1</w:t>
    </w:r>
    <w:r w:rsidRPr="000C4A91">
      <w:rPr>
        <w:rStyle w:val="PageNumber"/>
        <w:b/>
        <w:sz w:val="20"/>
        <w:szCs w:val="20"/>
      </w:rPr>
      <w:fldChar w:fldCharType="end"/>
    </w:r>
    <w:r w:rsidRPr="000C4A91">
      <w:rPr>
        <w:b/>
        <w:sz w:val="20"/>
        <w:szCs w:val="20"/>
      </w:rPr>
      <w:t xml:space="preserve"> of </w:t>
    </w:r>
    <w:r w:rsidRPr="000C4A91">
      <w:rPr>
        <w:rStyle w:val="PageNumber"/>
        <w:b/>
        <w:sz w:val="20"/>
        <w:szCs w:val="20"/>
      </w:rPr>
      <w:fldChar w:fldCharType="begin"/>
    </w:r>
    <w:r w:rsidRPr="000C4A91">
      <w:rPr>
        <w:rStyle w:val="PageNumber"/>
        <w:b/>
        <w:sz w:val="20"/>
        <w:szCs w:val="20"/>
      </w:rPr>
      <w:instrText xml:space="preserve"> NUMPAGES </w:instrText>
    </w:r>
    <w:r w:rsidRPr="000C4A91">
      <w:rPr>
        <w:rStyle w:val="PageNumber"/>
        <w:b/>
        <w:sz w:val="20"/>
        <w:szCs w:val="20"/>
      </w:rPr>
      <w:fldChar w:fldCharType="separate"/>
    </w:r>
    <w:r w:rsidR="00435C2E">
      <w:rPr>
        <w:rStyle w:val="PageNumber"/>
        <w:b/>
        <w:noProof/>
        <w:sz w:val="20"/>
        <w:szCs w:val="20"/>
      </w:rPr>
      <w:t>1</w:t>
    </w:r>
    <w:r w:rsidRPr="000C4A91">
      <w:rPr>
        <w:rStyle w:val="PageNumber"/>
        <w:b/>
        <w:sz w:val="20"/>
        <w:szCs w:val="20"/>
      </w:rPr>
      <w:fldChar w:fldCharType="end"/>
    </w:r>
  </w:p>
  <w:p w14:paraId="57A9A570" w14:textId="77777777" w:rsidR="000C4A91" w:rsidRDefault="000C4A91" w:rsidP="000C4A91">
    <w:pPr>
      <w:pStyle w:val="Header"/>
      <w:jc w:val="right"/>
      <w:rPr>
        <w:b/>
      </w:rPr>
    </w:pPr>
  </w:p>
  <w:p w14:paraId="223C9960" w14:textId="77777777" w:rsidR="000C4A91" w:rsidRDefault="000C4A91" w:rsidP="000C4A91">
    <w:pPr>
      <w:pStyle w:val="Header"/>
      <w:jc w:val="right"/>
      <w:rPr>
        <w:b/>
      </w:rPr>
    </w:pPr>
  </w:p>
  <w:p w14:paraId="09D4A9A2" w14:textId="77777777" w:rsidR="000C4A91" w:rsidRPr="00FD016B" w:rsidRDefault="000C4A91" w:rsidP="000C4A91">
    <w:pPr>
      <w:pStyle w:val="Header"/>
      <w:jc w:val="right"/>
      <w:rPr>
        <w:b/>
        <w:sz w:val="24"/>
      </w:rPr>
    </w:pPr>
    <w:r>
      <w:rPr>
        <w:b/>
        <w:sz w:val="24"/>
      </w:rPr>
      <w:t>Students with Disabilities</w:t>
    </w:r>
  </w:p>
  <w:p w14:paraId="3E7C5058" w14:textId="77777777" w:rsidR="000C4A91" w:rsidRPr="000C4A91" w:rsidRDefault="000C4A91" w:rsidP="000C4A91">
    <w:pPr>
      <w:pStyle w:val="Header"/>
      <w:jc w:val="right"/>
      <w:rPr>
        <w:b/>
        <w:sz w:val="20"/>
        <w:szCs w:val="20"/>
      </w:rPr>
    </w:pPr>
  </w:p>
  <w:p w14:paraId="4223050E" w14:textId="77777777" w:rsidR="000C4A91" w:rsidRPr="000A78A3" w:rsidRDefault="000C4A91" w:rsidP="000C4A91">
    <w:pPr>
      <w:pStyle w:val="Header"/>
      <w:jc w:val="right"/>
      <w:rPr>
        <w:b/>
        <w:sz w:val="24"/>
      </w:rPr>
    </w:pPr>
  </w:p>
  <w:p w14:paraId="5485AFB2" w14:textId="77777777" w:rsidR="000C4A91" w:rsidRDefault="000C4A91" w:rsidP="000C4A9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27B20FB0" w14:textId="77777777" w:rsidR="000C4A91" w:rsidRDefault="000C4A91" w:rsidP="000C4A9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7510AC79" w14:textId="77777777" w:rsidR="000C4A91" w:rsidRDefault="000C4A91" w:rsidP="000C4A9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BB5A07C" w14:textId="77777777" w:rsidR="000C4A91" w:rsidRPr="008D1520" w:rsidRDefault="000C4A91" w:rsidP="000C4A91">
    <w:pPr>
      <w:pStyle w:val="Header"/>
      <w:rPr>
        <w:rFonts w:ascii="Arial Narrow" w:hAnsi="Arial Narrow"/>
        <w:sz w:val="10"/>
        <w:szCs w:val="16"/>
      </w:rPr>
    </w:pPr>
  </w:p>
  <w:p w14:paraId="21DA78B6" w14:textId="77777777" w:rsidR="000C4A91" w:rsidRPr="000A78A3" w:rsidRDefault="000C4A91" w:rsidP="000C4A91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5E343EB1">
        <v:line id="_x0000_s1039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1654"/>
    <w:multiLevelType w:val="hybridMultilevel"/>
    <w:tmpl w:val="8FFEA396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3F57"/>
    <w:multiLevelType w:val="hybridMultilevel"/>
    <w:tmpl w:val="539E6040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515636">
    <w:abstractNumId w:val="0"/>
  </w:num>
  <w:num w:numId="2" w16cid:durableId="156232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OMlCF3PQ9D3k4zpRXHIs0IN8nWTYDZmytIsJYWHJdMKN1MxWwMxBAVgCq0pwzTmdK4EhS2rzMO6g2wONI4SA/g==" w:salt="6AIm45XH9yuu8Iyynw8Ob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A87"/>
    <w:rsid w:val="00015F3E"/>
    <w:rsid w:val="00025676"/>
    <w:rsid w:val="000367DC"/>
    <w:rsid w:val="00053091"/>
    <w:rsid w:val="00096035"/>
    <w:rsid w:val="000B372A"/>
    <w:rsid w:val="000C4A91"/>
    <w:rsid w:val="00103AAE"/>
    <w:rsid w:val="001619BD"/>
    <w:rsid w:val="001C3E5B"/>
    <w:rsid w:val="001D5A87"/>
    <w:rsid w:val="001E5F14"/>
    <w:rsid w:val="002B5619"/>
    <w:rsid w:val="002D5F16"/>
    <w:rsid w:val="00302FC7"/>
    <w:rsid w:val="003060B9"/>
    <w:rsid w:val="00324B7D"/>
    <w:rsid w:val="003772B1"/>
    <w:rsid w:val="003A32EB"/>
    <w:rsid w:val="003D1993"/>
    <w:rsid w:val="003E4BFA"/>
    <w:rsid w:val="00435C2E"/>
    <w:rsid w:val="00476A8F"/>
    <w:rsid w:val="00517A31"/>
    <w:rsid w:val="0058362B"/>
    <w:rsid w:val="00645947"/>
    <w:rsid w:val="0066557E"/>
    <w:rsid w:val="007A34BC"/>
    <w:rsid w:val="007B2447"/>
    <w:rsid w:val="00940788"/>
    <w:rsid w:val="009525F4"/>
    <w:rsid w:val="009D267A"/>
    <w:rsid w:val="009D75E1"/>
    <w:rsid w:val="009F2910"/>
    <w:rsid w:val="00AD2DA8"/>
    <w:rsid w:val="00B2783A"/>
    <w:rsid w:val="00B3440C"/>
    <w:rsid w:val="00B43BF5"/>
    <w:rsid w:val="00B644AF"/>
    <w:rsid w:val="00B7660F"/>
    <w:rsid w:val="00BD34BD"/>
    <w:rsid w:val="00BE596E"/>
    <w:rsid w:val="00BF18DB"/>
    <w:rsid w:val="00CA39EB"/>
    <w:rsid w:val="00CA3D67"/>
    <w:rsid w:val="00CB27B6"/>
    <w:rsid w:val="00E46B90"/>
    <w:rsid w:val="00ED24F5"/>
    <w:rsid w:val="00ED2AFC"/>
    <w:rsid w:val="00EF4EE3"/>
    <w:rsid w:val="00FB4194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FAA1C77"/>
  <w15:chartTrackingRefBased/>
  <w15:docId w15:val="{CA576689-FD6C-40CB-B0DC-D6BDD29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BF18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C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recognizes the existence of individual differences in the intellectual, social, emotional, and physical development of c</vt:lpstr>
    </vt:vector>
  </TitlesOfParts>
  <Company>Eastern Suffolk BOCES</Company>
  <LinksUpToDate>false</LinksUpToDate>
  <CharactersWithSpaces>2605</CharactersWithSpaces>
  <SharedDoc>false</SharedDoc>
  <HLinks>
    <vt:vector size="24" baseType="variant">
      <vt:variant>
        <vt:i4>5177419</vt:i4>
      </vt:variant>
      <vt:variant>
        <vt:i4>9</vt:i4>
      </vt:variant>
      <vt:variant>
        <vt:i4>0</vt:i4>
      </vt:variant>
      <vt:variant>
        <vt:i4>5</vt:i4>
      </vt:variant>
      <vt:variant>
        <vt:lpwstr>../../../Regulations/Regulations on the Intranet/Section 6000 - Students/Regulation 6570R.1 Complaints and Grievances by Students.doc</vt:lpwstr>
      </vt:variant>
      <vt:variant>
        <vt:lpwstr/>
      </vt:variant>
      <vt:variant>
        <vt:i4>7995435</vt:i4>
      </vt:variant>
      <vt:variant>
        <vt:i4>6</vt:i4>
      </vt:variant>
      <vt:variant>
        <vt:i4>0</vt:i4>
      </vt:variant>
      <vt:variant>
        <vt:i4>5</vt:i4>
      </vt:variant>
      <vt:variant>
        <vt:lpwstr>../../Policies on the Intranet/Section 6000 - Students/Policy 6130 Equal Educational Opportunity (Students).doc</vt:lpwstr>
      </vt:variant>
      <vt:variant>
        <vt:lpwstr/>
      </vt:variant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../../Policies on the Intranet/Section 1000 - Bylaws/Policy 1440 Non-Discrimination.doc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recognizes the existence of individual differences in the intellectual, social, emotional, and physical development of c</dc:title>
  <dc:subject/>
  <dc:creator>Pamela  Arrasate</dc:creator>
  <cp:keywords/>
  <dc:description/>
  <cp:lastModifiedBy>Kidney, James</cp:lastModifiedBy>
  <cp:revision>2</cp:revision>
  <cp:lastPrinted>2007-07-02T18:00:00Z</cp:lastPrinted>
  <dcterms:created xsi:type="dcterms:W3CDTF">2026-03-20T16:21:00Z</dcterms:created>
  <dcterms:modified xsi:type="dcterms:W3CDTF">2026-03-20T16:21:00Z</dcterms:modified>
</cp:coreProperties>
</file>